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5950" w14:textId="77777777" w:rsidR="00D84965" w:rsidRDefault="004E7653">
      <w:pPr>
        <w:spacing w:after="240"/>
      </w:pPr>
      <w:r>
        <w:rPr>
          <w:b/>
          <w:sz w:val="40"/>
          <w:szCs w:val="40"/>
        </w:rPr>
        <w:t>Service Level Agreement (Detailed Template)</w:t>
      </w:r>
    </w:p>
    <w:p w14:paraId="00725951" w14:textId="77777777" w:rsidR="00D84965" w:rsidRDefault="004E7653">
      <w:pPr>
        <w:spacing w:after="120"/>
      </w:pPr>
      <w:r>
        <w:rPr>
          <w:i/>
        </w:rPr>
        <w:t>Use this for a multi-service contract, or any agreement where the stakes justify spelling everything out. Replace the bracketed fields with your own details. This is a complete SLA document you can adapt section by section.</w:t>
      </w:r>
    </w:p>
    <w:p w14:paraId="00725952" w14:textId="77777777" w:rsidR="00D84965" w:rsidRDefault="004E7653">
      <w:pPr>
        <w:spacing w:after="120"/>
      </w:pPr>
      <w:r>
        <w:t>Agreement ID: [SLA-000]     Version: [1.0]     Effective Date: [DD/MM/YYYY]</w:t>
      </w:r>
    </w:p>
    <w:p w14:paraId="00725953" w14:textId="77777777" w:rsidR="00D84965" w:rsidRDefault="004E7653">
      <w:pPr>
        <w:spacing w:before="240" w:after="120"/>
      </w:pPr>
      <w:r>
        <w:rPr>
          <w:b/>
          <w:sz w:val="30"/>
          <w:szCs w:val="30"/>
        </w:rPr>
        <w:t>Section 1: Overview</w:t>
      </w:r>
    </w:p>
    <w:p w14:paraId="00725954" w14:textId="77777777" w:rsidR="00D84965" w:rsidRDefault="004E7653">
      <w:pPr>
        <w:spacing w:after="120"/>
      </w:pPr>
      <w:r>
        <w:t>1.1 Parties and contacts: [provider, customer, named representatives].</w:t>
      </w:r>
    </w:p>
    <w:p w14:paraId="00725955" w14:textId="77777777" w:rsidR="00D84965" w:rsidRDefault="004E7653">
      <w:pPr>
        <w:spacing w:after="120"/>
      </w:pPr>
      <w:r>
        <w:t>1.2 Purpose and background: [why this agreement exists].</w:t>
      </w:r>
    </w:p>
    <w:p w14:paraId="00725956" w14:textId="77777777" w:rsidR="00D84965" w:rsidRDefault="004E7653">
      <w:pPr>
        <w:spacing w:after="120"/>
      </w:pPr>
      <w:r>
        <w:t>1.3 Glossary of terms and acronyms: [define SLA, MTTR, uptime, and any subjective terms].</w:t>
      </w:r>
    </w:p>
    <w:p w14:paraId="00725957" w14:textId="77777777" w:rsidR="00D84965" w:rsidRDefault="004E7653">
      <w:pPr>
        <w:spacing w:after="120"/>
      </w:pPr>
      <w:r>
        <w:t>1.4 Duration, renewal, and termination: [e.g., 12 months, 30-day renewal notice, 45-day termination notice].</w:t>
      </w:r>
    </w:p>
    <w:p w14:paraId="00725958" w14:textId="77777777" w:rsidR="00D84965" w:rsidRDefault="004E7653">
      <w:pPr>
        <w:spacing w:before="240" w:after="120"/>
      </w:pPr>
      <w:r>
        <w:rPr>
          <w:b/>
          <w:sz w:val="30"/>
          <w:szCs w:val="30"/>
        </w:rPr>
        <w:t>Section 2: Service Scope</w:t>
      </w:r>
    </w:p>
    <w:p w14:paraId="00725959" w14:textId="77777777" w:rsidR="00D84965" w:rsidRDefault="004E7653">
      <w:pPr>
        <w:spacing w:after="120"/>
      </w:pPr>
      <w:r>
        <w:t>2.1 Services covered: [describe each service].</w:t>
      </w:r>
    </w:p>
    <w:p w14:paraId="0072595A" w14:textId="77777777" w:rsidR="00D84965" w:rsidRDefault="004E7653">
      <w:pPr>
        <w:spacing w:after="120"/>
      </w:pPr>
      <w:r>
        <w:t>2.2 Exclusions: [beta features, third-party software, customer-side issues].</w:t>
      </w:r>
    </w:p>
    <w:p w14:paraId="0072595B" w14:textId="77777777" w:rsidR="00D84965" w:rsidRDefault="004E7653">
      <w:pPr>
        <w:spacing w:after="120"/>
      </w:pPr>
      <w:r>
        <w:t>2.3 Service hours and time zones: [e.g., 24/7, or 9 AM to 6 PM IST].</w:t>
      </w:r>
    </w:p>
    <w:p w14:paraId="0072595C" w14:textId="77777777" w:rsidR="00D84965" w:rsidRDefault="004E7653">
      <w:pPr>
        <w:spacing w:after="120"/>
      </w:pPr>
      <w:r>
        <w:t>2.4 Deliverables: [e.g., a monthly uptime report].</w:t>
      </w:r>
    </w:p>
    <w:p w14:paraId="0072595D" w14:textId="77777777" w:rsidR="00D84965" w:rsidRDefault="004E7653">
      <w:pPr>
        <w:spacing w:before="240" w:after="120"/>
      </w:pPr>
      <w:r>
        <w:rPr>
          <w:b/>
          <w:sz w:val="30"/>
          <w:szCs w:val="30"/>
        </w:rPr>
        <w:t>Section 3: Service Levels</w:t>
      </w:r>
    </w:p>
    <w:p w14:paraId="0072595E" w14:textId="77777777" w:rsidR="00D84965" w:rsidRDefault="004E7653">
      <w:pPr>
        <w:spacing w:after="120"/>
      </w:pPr>
      <w:r>
        <w:t>3.1 Availability target: [e.g., 99.9% monthly uptime], which allows [43 minutes] of monthly downtime.</w:t>
      </w:r>
    </w:p>
    <w:p w14:paraId="0072595F" w14:textId="77777777" w:rsidR="00D84965" w:rsidRDefault="004E7653">
      <w:pPr>
        <w:spacing w:after="120"/>
      </w:pPr>
      <w:r>
        <w:t>3.2 Priority definitions: Critical, High, Medium, Low.</w:t>
      </w:r>
    </w:p>
    <w:p w14:paraId="00725960" w14:textId="77777777" w:rsidR="00D84965" w:rsidRDefault="004E7653">
      <w:pPr>
        <w:spacing w:after="120"/>
      </w:pPr>
      <w:r>
        <w:t>3.3 Response and resolution targets per priority:</w:t>
      </w:r>
    </w:p>
    <w:tbl>
      <w:tblPr>
        <w:tblW w:w="0" w:type="auto"/>
        <w:tblInd w:w="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000"/>
        <w:gridCol w:w="3000"/>
      </w:tblGrid>
      <w:tr w:rsidR="00D84965" w14:paraId="00725964" w14:textId="77777777">
        <w:tc>
          <w:tcPr>
            <w:tcW w:w="2400" w:type="dxa"/>
          </w:tcPr>
          <w:p w14:paraId="00725961" w14:textId="77777777" w:rsidR="00D84965" w:rsidRDefault="004E7653">
            <w:pPr>
              <w:spacing w:after="40"/>
            </w:pPr>
            <w:r>
              <w:rPr>
                <w:b/>
              </w:rPr>
              <w:t>Priority</w:t>
            </w:r>
          </w:p>
        </w:tc>
        <w:tc>
          <w:tcPr>
            <w:tcW w:w="3000" w:type="dxa"/>
          </w:tcPr>
          <w:p w14:paraId="00725962" w14:textId="77777777" w:rsidR="00D84965" w:rsidRDefault="004E7653">
            <w:pPr>
              <w:spacing w:after="40"/>
            </w:pPr>
            <w:r>
              <w:rPr>
                <w:b/>
              </w:rPr>
              <w:t>Response Time</w:t>
            </w:r>
          </w:p>
        </w:tc>
        <w:tc>
          <w:tcPr>
            <w:tcW w:w="3000" w:type="dxa"/>
          </w:tcPr>
          <w:p w14:paraId="00725963" w14:textId="77777777" w:rsidR="00D84965" w:rsidRDefault="004E7653">
            <w:pPr>
              <w:spacing w:after="40"/>
            </w:pPr>
            <w:r>
              <w:rPr>
                <w:b/>
              </w:rPr>
              <w:t>Resolution Time</w:t>
            </w:r>
          </w:p>
        </w:tc>
      </w:tr>
      <w:tr w:rsidR="00D84965" w14:paraId="00725968" w14:textId="77777777">
        <w:tc>
          <w:tcPr>
            <w:tcW w:w="2400" w:type="dxa"/>
          </w:tcPr>
          <w:p w14:paraId="00725965" w14:textId="77777777" w:rsidR="00D84965" w:rsidRDefault="004E7653">
            <w:pPr>
              <w:spacing w:after="40"/>
            </w:pPr>
            <w:r>
              <w:t>Critical</w:t>
            </w:r>
          </w:p>
        </w:tc>
        <w:tc>
          <w:tcPr>
            <w:tcW w:w="3000" w:type="dxa"/>
          </w:tcPr>
          <w:p w14:paraId="00725966" w14:textId="77777777" w:rsidR="00D84965" w:rsidRDefault="004E7653">
            <w:pPr>
              <w:spacing w:after="40"/>
            </w:pPr>
            <w:r>
              <w:t>[15 minutes]</w:t>
            </w:r>
          </w:p>
        </w:tc>
        <w:tc>
          <w:tcPr>
            <w:tcW w:w="3000" w:type="dxa"/>
          </w:tcPr>
          <w:p w14:paraId="00725967" w14:textId="77777777" w:rsidR="00D84965" w:rsidRDefault="004E7653">
            <w:pPr>
              <w:spacing w:after="40"/>
            </w:pPr>
            <w:r>
              <w:t>[4 hours]</w:t>
            </w:r>
          </w:p>
        </w:tc>
      </w:tr>
      <w:tr w:rsidR="00D84965" w14:paraId="0072596C" w14:textId="77777777">
        <w:tc>
          <w:tcPr>
            <w:tcW w:w="2400" w:type="dxa"/>
          </w:tcPr>
          <w:p w14:paraId="00725969" w14:textId="77777777" w:rsidR="00D84965" w:rsidRDefault="004E7653">
            <w:pPr>
              <w:spacing w:after="40"/>
            </w:pPr>
            <w:r>
              <w:t>High</w:t>
            </w:r>
          </w:p>
        </w:tc>
        <w:tc>
          <w:tcPr>
            <w:tcW w:w="3000" w:type="dxa"/>
          </w:tcPr>
          <w:p w14:paraId="0072596A" w14:textId="77777777" w:rsidR="00D84965" w:rsidRDefault="004E7653">
            <w:pPr>
              <w:spacing w:after="40"/>
            </w:pPr>
            <w:r>
              <w:t>[30 minutes]</w:t>
            </w:r>
          </w:p>
        </w:tc>
        <w:tc>
          <w:tcPr>
            <w:tcW w:w="3000" w:type="dxa"/>
          </w:tcPr>
          <w:p w14:paraId="0072596B" w14:textId="77777777" w:rsidR="00D84965" w:rsidRDefault="004E7653">
            <w:pPr>
              <w:spacing w:after="40"/>
            </w:pPr>
            <w:r>
              <w:t>[8 hours]</w:t>
            </w:r>
          </w:p>
        </w:tc>
      </w:tr>
      <w:tr w:rsidR="00D84965" w14:paraId="00725970" w14:textId="77777777">
        <w:tc>
          <w:tcPr>
            <w:tcW w:w="2400" w:type="dxa"/>
          </w:tcPr>
          <w:p w14:paraId="0072596D" w14:textId="77777777" w:rsidR="00D84965" w:rsidRDefault="004E7653">
            <w:pPr>
              <w:spacing w:after="40"/>
            </w:pPr>
            <w:r>
              <w:t>Medium</w:t>
            </w:r>
          </w:p>
        </w:tc>
        <w:tc>
          <w:tcPr>
            <w:tcW w:w="3000" w:type="dxa"/>
          </w:tcPr>
          <w:p w14:paraId="0072596E" w14:textId="77777777" w:rsidR="00D84965" w:rsidRDefault="004E7653">
            <w:pPr>
              <w:spacing w:after="40"/>
            </w:pPr>
            <w:r>
              <w:t>[4 hours]</w:t>
            </w:r>
          </w:p>
        </w:tc>
        <w:tc>
          <w:tcPr>
            <w:tcW w:w="3000" w:type="dxa"/>
          </w:tcPr>
          <w:p w14:paraId="0072596F" w14:textId="77777777" w:rsidR="00D84965" w:rsidRDefault="004E7653">
            <w:pPr>
              <w:spacing w:after="40"/>
            </w:pPr>
            <w:r>
              <w:t>[2 business days]</w:t>
            </w:r>
          </w:p>
        </w:tc>
      </w:tr>
      <w:tr w:rsidR="00D84965" w14:paraId="00725974" w14:textId="77777777">
        <w:tc>
          <w:tcPr>
            <w:tcW w:w="2400" w:type="dxa"/>
          </w:tcPr>
          <w:p w14:paraId="00725971" w14:textId="77777777" w:rsidR="00D84965" w:rsidRDefault="004E7653">
            <w:pPr>
              <w:spacing w:after="40"/>
            </w:pPr>
            <w:r>
              <w:t>Low</w:t>
            </w:r>
          </w:p>
        </w:tc>
        <w:tc>
          <w:tcPr>
            <w:tcW w:w="3000" w:type="dxa"/>
          </w:tcPr>
          <w:p w14:paraId="00725972" w14:textId="77777777" w:rsidR="00D84965" w:rsidRDefault="004E7653">
            <w:pPr>
              <w:spacing w:after="40"/>
            </w:pPr>
            <w:r>
              <w:t>[1 business day]</w:t>
            </w:r>
          </w:p>
        </w:tc>
        <w:tc>
          <w:tcPr>
            <w:tcW w:w="3000" w:type="dxa"/>
          </w:tcPr>
          <w:p w14:paraId="00725973" w14:textId="77777777" w:rsidR="00D84965" w:rsidRDefault="004E7653">
            <w:pPr>
              <w:spacing w:after="40"/>
            </w:pPr>
            <w:r>
              <w:t>[5 business days]</w:t>
            </w:r>
          </w:p>
        </w:tc>
      </w:tr>
    </w:tbl>
    <w:p w14:paraId="00725975" w14:textId="77777777" w:rsidR="00D84965" w:rsidRDefault="00D84965">
      <w:pPr>
        <w:spacing w:after="120"/>
      </w:pPr>
    </w:p>
    <w:p w14:paraId="00725976" w14:textId="77777777" w:rsidR="00D84965" w:rsidRDefault="004E7653">
      <w:pPr>
        <w:spacing w:after="120"/>
      </w:pPr>
      <w:r>
        <w:t>3.4 Maintenance windows and planned outages: [e.g., second Sunday each month, 1 AM to 4 AM].</w:t>
      </w:r>
    </w:p>
    <w:p w14:paraId="00725977" w14:textId="77777777" w:rsidR="00D84965" w:rsidRDefault="004E7653">
      <w:pPr>
        <w:spacing w:before="240" w:after="120"/>
      </w:pPr>
      <w:r>
        <w:rPr>
          <w:b/>
          <w:sz w:val="30"/>
          <w:szCs w:val="30"/>
        </w:rPr>
        <w:t>Section 4: Responsibilities</w:t>
      </w:r>
    </w:p>
    <w:p w14:paraId="00725978" w14:textId="77777777" w:rsidR="00D84965" w:rsidRDefault="004E7653">
      <w:pPr>
        <w:spacing w:after="120"/>
      </w:pPr>
      <w:r>
        <w:t>4.1 Provider responsibilities: [list].</w:t>
      </w:r>
    </w:p>
    <w:p w14:paraId="00725979" w14:textId="77777777" w:rsidR="00D84965" w:rsidRDefault="004E7653">
      <w:pPr>
        <w:spacing w:after="120"/>
      </w:pPr>
      <w:r>
        <w:t>4.2 Customer responsibilities: [list].</w:t>
      </w:r>
    </w:p>
    <w:p w14:paraId="0072597A" w14:textId="77777777" w:rsidR="00D84965" w:rsidRDefault="004E7653">
      <w:pPr>
        <w:spacing w:after="120"/>
      </w:pPr>
      <w:r>
        <w:t>4.3 Conditions that pause the SLA when the customer side is unmet: [list].</w:t>
      </w:r>
    </w:p>
    <w:p w14:paraId="0072597B" w14:textId="77777777" w:rsidR="00D84965" w:rsidRDefault="004E7653">
      <w:pPr>
        <w:spacing w:before="240" w:after="120"/>
      </w:pPr>
      <w:r>
        <w:rPr>
          <w:b/>
          <w:sz w:val="30"/>
          <w:szCs w:val="30"/>
        </w:rPr>
        <w:t>Section 5: Performance and Remedies</w:t>
      </w:r>
    </w:p>
    <w:p w14:paraId="0072597C" w14:textId="77777777" w:rsidR="00D84965" w:rsidRDefault="004E7653">
      <w:pPr>
        <w:spacing w:after="120"/>
      </w:pPr>
      <w:r>
        <w:t>5.1 How performance is measured and reported: [tool, cadence].</w:t>
      </w:r>
    </w:p>
    <w:p w14:paraId="0072597D" w14:textId="77777777" w:rsidR="00D84965" w:rsidRDefault="004E7653">
      <w:pPr>
        <w:spacing w:after="120"/>
      </w:pPr>
      <w:r>
        <w:t>5.2 Service credits, calculation, and monthly cap: [e.g., 3% per breach, capped at 15% of the monthly fee].</w:t>
      </w:r>
    </w:p>
    <w:p w14:paraId="0072597E" w14:textId="77777777" w:rsidR="00D84965" w:rsidRDefault="004E7653">
      <w:pPr>
        <w:spacing w:after="120"/>
      </w:pPr>
      <w:r>
        <w:t>5.3 Breach handling and remediation meetings: [process].</w:t>
      </w:r>
    </w:p>
    <w:p w14:paraId="0072597F" w14:textId="77777777" w:rsidR="00D84965" w:rsidRDefault="004E7653">
      <w:pPr>
        <w:spacing w:before="240" w:after="120"/>
      </w:pPr>
      <w:r>
        <w:rPr>
          <w:b/>
          <w:sz w:val="30"/>
          <w:szCs w:val="30"/>
        </w:rPr>
        <w:t>Section 6: Governance</w:t>
      </w:r>
    </w:p>
    <w:p w14:paraId="00725980" w14:textId="77777777" w:rsidR="00D84965" w:rsidRDefault="004E7653">
      <w:pPr>
        <w:spacing w:after="120"/>
      </w:pPr>
      <w:r>
        <w:t>6.1 Review cadence: [quarterly].</w:t>
      </w:r>
    </w:p>
    <w:p w14:paraId="00725981" w14:textId="77777777" w:rsidR="00D84965" w:rsidRDefault="004E7653">
      <w:pPr>
        <w:spacing w:after="120"/>
      </w:pPr>
      <w:r>
        <w:t>6.2 Change and amendment process: [e.g., 30-day notice, both parties agree].</w:t>
      </w:r>
    </w:p>
    <w:p w14:paraId="00725982" w14:textId="77777777" w:rsidR="00D84965" w:rsidRDefault="004E7653">
      <w:pPr>
        <w:spacing w:after="120"/>
      </w:pPr>
      <w:r>
        <w:t>6.3 Approvals and signatures:</w:t>
      </w:r>
    </w:p>
    <w:tbl>
      <w:tblPr>
        <w:tblW w:w="0" w:type="auto"/>
        <w:tblInd w:w="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000"/>
        <w:gridCol w:w="3000"/>
      </w:tblGrid>
      <w:tr w:rsidR="00D84965" w14:paraId="00725986" w14:textId="77777777">
        <w:tc>
          <w:tcPr>
            <w:tcW w:w="2600" w:type="dxa"/>
          </w:tcPr>
          <w:p w14:paraId="00725983" w14:textId="77777777" w:rsidR="00D84965" w:rsidRDefault="00D84965">
            <w:pPr>
              <w:spacing w:after="40"/>
            </w:pPr>
          </w:p>
        </w:tc>
        <w:tc>
          <w:tcPr>
            <w:tcW w:w="3000" w:type="dxa"/>
          </w:tcPr>
          <w:p w14:paraId="00725984" w14:textId="77777777" w:rsidR="00D84965" w:rsidRDefault="004E7653">
            <w:pPr>
              <w:spacing w:after="40"/>
            </w:pPr>
            <w:r>
              <w:rPr>
                <w:b/>
              </w:rPr>
              <w:t>Provider</w:t>
            </w:r>
          </w:p>
        </w:tc>
        <w:tc>
          <w:tcPr>
            <w:tcW w:w="3000" w:type="dxa"/>
          </w:tcPr>
          <w:p w14:paraId="00725985" w14:textId="77777777" w:rsidR="00D84965" w:rsidRDefault="004E7653">
            <w:pPr>
              <w:spacing w:after="40"/>
            </w:pPr>
            <w:r>
              <w:rPr>
                <w:b/>
              </w:rPr>
              <w:t>Customer</w:t>
            </w:r>
          </w:p>
        </w:tc>
      </w:tr>
      <w:tr w:rsidR="00D84965" w14:paraId="0072598A" w14:textId="77777777">
        <w:tc>
          <w:tcPr>
            <w:tcW w:w="2600" w:type="dxa"/>
          </w:tcPr>
          <w:p w14:paraId="00725987" w14:textId="77777777" w:rsidR="00D84965" w:rsidRDefault="004E7653">
            <w:pPr>
              <w:spacing w:after="40"/>
            </w:pPr>
            <w:r>
              <w:t>Name</w:t>
            </w:r>
          </w:p>
        </w:tc>
        <w:tc>
          <w:tcPr>
            <w:tcW w:w="3000" w:type="dxa"/>
          </w:tcPr>
          <w:p w14:paraId="00725988" w14:textId="77777777" w:rsidR="00D84965" w:rsidRDefault="004E7653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14:paraId="00725989" w14:textId="77777777" w:rsidR="00D84965" w:rsidRDefault="004E7653">
            <w:pPr>
              <w:spacing w:after="40"/>
            </w:pPr>
            <w:r>
              <w:t>[ ]</w:t>
            </w:r>
          </w:p>
        </w:tc>
      </w:tr>
      <w:tr w:rsidR="00D84965" w14:paraId="0072598E" w14:textId="77777777">
        <w:tc>
          <w:tcPr>
            <w:tcW w:w="2600" w:type="dxa"/>
          </w:tcPr>
          <w:p w14:paraId="0072598B" w14:textId="77777777" w:rsidR="00D84965" w:rsidRDefault="004E7653">
            <w:pPr>
              <w:spacing w:after="40"/>
            </w:pPr>
            <w:r>
              <w:t>Designation</w:t>
            </w:r>
          </w:p>
        </w:tc>
        <w:tc>
          <w:tcPr>
            <w:tcW w:w="3000" w:type="dxa"/>
          </w:tcPr>
          <w:p w14:paraId="0072598C" w14:textId="77777777" w:rsidR="00D84965" w:rsidRDefault="004E7653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14:paraId="0072598D" w14:textId="77777777" w:rsidR="00D84965" w:rsidRDefault="004E7653">
            <w:pPr>
              <w:spacing w:after="40"/>
            </w:pPr>
            <w:r>
              <w:t>[ ]</w:t>
            </w:r>
          </w:p>
        </w:tc>
      </w:tr>
      <w:tr w:rsidR="00D84965" w14:paraId="00725992" w14:textId="77777777">
        <w:tc>
          <w:tcPr>
            <w:tcW w:w="2600" w:type="dxa"/>
          </w:tcPr>
          <w:p w14:paraId="0072598F" w14:textId="77777777" w:rsidR="00D84965" w:rsidRDefault="004E7653">
            <w:pPr>
              <w:spacing w:after="40"/>
            </w:pPr>
            <w:r>
              <w:t>Date</w:t>
            </w:r>
          </w:p>
        </w:tc>
        <w:tc>
          <w:tcPr>
            <w:tcW w:w="3000" w:type="dxa"/>
          </w:tcPr>
          <w:p w14:paraId="00725990" w14:textId="77777777" w:rsidR="00D84965" w:rsidRDefault="004E7653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14:paraId="00725991" w14:textId="77777777" w:rsidR="00D84965" w:rsidRDefault="004E7653">
            <w:pPr>
              <w:spacing w:after="40"/>
            </w:pPr>
            <w:r>
              <w:t>[ ]</w:t>
            </w:r>
          </w:p>
        </w:tc>
      </w:tr>
      <w:tr w:rsidR="00D84965" w14:paraId="00725996" w14:textId="77777777">
        <w:tc>
          <w:tcPr>
            <w:tcW w:w="2600" w:type="dxa"/>
          </w:tcPr>
          <w:p w14:paraId="00725993" w14:textId="77777777" w:rsidR="00D84965" w:rsidRDefault="004E7653">
            <w:pPr>
              <w:spacing w:after="40"/>
            </w:pPr>
            <w:r>
              <w:t>Signature</w:t>
            </w:r>
          </w:p>
        </w:tc>
        <w:tc>
          <w:tcPr>
            <w:tcW w:w="3000" w:type="dxa"/>
          </w:tcPr>
          <w:p w14:paraId="00725994" w14:textId="77777777" w:rsidR="00D84965" w:rsidRDefault="004E7653">
            <w:pPr>
              <w:spacing w:after="40"/>
            </w:pPr>
            <w:r>
              <w:t>[ ]</w:t>
            </w:r>
          </w:p>
        </w:tc>
        <w:tc>
          <w:tcPr>
            <w:tcW w:w="3000" w:type="dxa"/>
          </w:tcPr>
          <w:p w14:paraId="00725995" w14:textId="77777777" w:rsidR="00D84965" w:rsidRDefault="004E7653">
            <w:pPr>
              <w:spacing w:after="40"/>
            </w:pPr>
            <w:r>
              <w:t>[ ]</w:t>
            </w:r>
          </w:p>
        </w:tc>
      </w:tr>
    </w:tbl>
    <w:p w14:paraId="00725997" w14:textId="77777777" w:rsidR="00D84965" w:rsidRDefault="00D84965">
      <w:pPr>
        <w:spacing w:after="120"/>
      </w:pPr>
    </w:p>
    <w:p w14:paraId="00725998" w14:textId="77777777" w:rsidR="00D84965" w:rsidRDefault="004E7653">
      <w:pPr>
        <w:spacing w:before="240" w:after="120"/>
      </w:pPr>
      <w:r>
        <w:rPr>
          <w:b/>
          <w:sz w:val="30"/>
          <w:szCs w:val="30"/>
        </w:rPr>
        <w:t>Appendix</w:t>
      </w:r>
    </w:p>
    <w:p w14:paraId="00725999" w14:textId="77777777" w:rsidR="00D84965" w:rsidRDefault="004E7653">
      <w:pPr>
        <w:spacing w:after="120"/>
      </w:pPr>
      <w:r>
        <w:t>A.1 Pricing and service tiers: [table or description].</w:t>
      </w:r>
    </w:p>
    <w:p w14:paraId="0072599A" w14:textId="77777777" w:rsidR="00D84965" w:rsidRDefault="004E7653">
      <w:pPr>
        <w:spacing w:after="120"/>
      </w:pPr>
      <w:r>
        <w:t>A.2 Reference documents: [list].</w:t>
      </w:r>
    </w:p>
    <w:p w14:paraId="0072599B" w14:textId="77777777" w:rsidR="00D84965" w:rsidRDefault="004E7653">
      <w:pPr>
        <w:spacing w:after="120"/>
      </w:pPr>
      <w:r>
        <w:rPr>
          <w:i/>
          <w:sz w:val="18"/>
          <w:szCs w:val="18"/>
        </w:rPr>
        <w:t>Template provided by Motadata. Edit the bracketed fields to fit your services.</w:t>
      </w:r>
    </w:p>
    <w:p w14:paraId="0072599C" w14:textId="77777777" w:rsidR="00D84965" w:rsidRDefault="004E7653">
      <w:pPr>
        <w:spacing w:after="120"/>
      </w:pPr>
      <w:r>
        <w:rPr>
          <w:i/>
          <w:sz w:val="18"/>
          <w:szCs w:val="18"/>
        </w:rPr>
        <w:t>This template is a starting point, not legal advice. Have a qualified legal or contracts professional review it before you sign it or send it to a customer. Motadata is not responsible for how this template is used, or for any loss, dispute, or harm that results from using it.</w:t>
      </w:r>
    </w:p>
    <w:sectPr w:rsidR="00D84965" w:rsidSect="00515882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BA0D" w14:textId="77777777" w:rsidR="001D675E" w:rsidRDefault="001D675E" w:rsidP="002170BF">
      <w:pPr>
        <w:spacing w:after="0" w:line="240" w:lineRule="auto"/>
      </w:pPr>
      <w:r>
        <w:separator/>
      </w:r>
    </w:p>
  </w:endnote>
  <w:endnote w:type="continuationSeparator" w:id="0">
    <w:p w14:paraId="395E9953" w14:textId="77777777" w:rsidR="001D675E" w:rsidRDefault="001D675E" w:rsidP="0021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17FE" w14:textId="7ACC5103" w:rsidR="0061319B" w:rsidRDefault="0061319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4CECE2" wp14:editId="3DBC968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488000" cy="519328"/>
          <wp:effectExtent l="0" t="0" r="0" b="0"/>
          <wp:wrapNone/>
          <wp:docPr id="732323805" name="Picture 3">
            <a:extLst xmlns:a="http://schemas.openxmlformats.org/drawingml/2006/main">
              <a:ext uri="{FF2B5EF4-FFF2-40B4-BE49-F238E27FC236}">
                <a16:creationId xmlns:a16="http://schemas.microsoft.com/office/drawing/2014/main" id="{29A57B0E-7442-47BD-8578-3CBFF61891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32380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1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D93C" w14:textId="77777777" w:rsidR="001D675E" w:rsidRDefault="001D675E" w:rsidP="002170BF">
      <w:pPr>
        <w:spacing w:after="0" w:line="240" w:lineRule="auto"/>
      </w:pPr>
      <w:r>
        <w:separator/>
      </w:r>
    </w:p>
  </w:footnote>
  <w:footnote w:type="continuationSeparator" w:id="0">
    <w:p w14:paraId="1E8A0AAB" w14:textId="77777777" w:rsidR="001D675E" w:rsidRDefault="001D675E" w:rsidP="0021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F88C" w14:textId="789BC240" w:rsidR="002170BF" w:rsidRDefault="002170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804CB" wp14:editId="0A63E798">
          <wp:simplePos x="0" y="0"/>
          <wp:positionH relativeFrom="page">
            <wp:posOffset>5616575</wp:posOffset>
          </wp:positionH>
          <wp:positionV relativeFrom="page">
            <wp:posOffset>288290</wp:posOffset>
          </wp:positionV>
          <wp:extent cx="1440000" cy="230400"/>
          <wp:effectExtent l="0" t="0" r="0" b="0"/>
          <wp:wrapNone/>
          <wp:docPr id="272248645" name="Picture 1">
            <a:extLst xmlns:a="http://schemas.openxmlformats.org/drawingml/2006/main">
              <a:ext uri="{FF2B5EF4-FFF2-40B4-BE49-F238E27FC236}">
                <a16:creationId xmlns:a16="http://schemas.microsoft.com/office/drawing/2014/main" id="{C91F7093-6154-4407-9F08-59ED0599A4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965"/>
    <w:rsid w:val="000131A3"/>
    <w:rsid w:val="00015CB9"/>
    <w:rsid w:val="00184E28"/>
    <w:rsid w:val="001D675E"/>
    <w:rsid w:val="002170BF"/>
    <w:rsid w:val="00287555"/>
    <w:rsid w:val="00462176"/>
    <w:rsid w:val="004E7653"/>
    <w:rsid w:val="00515882"/>
    <w:rsid w:val="00583AEF"/>
    <w:rsid w:val="0061319B"/>
    <w:rsid w:val="00653AC8"/>
    <w:rsid w:val="007C3596"/>
    <w:rsid w:val="008A5204"/>
    <w:rsid w:val="009D722C"/>
    <w:rsid w:val="00D77B54"/>
    <w:rsid w:val="00D84965"/>
    <w:rsid w:val="00E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25950"/>
  <w15:docId w15:val="{7DFEDB45-1BA6-4AF0-866A-E7318649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0BF"/>
  </w:style>
  <w:style w:type="paragraph" w:styleId="Footer">
    <w:name w:val="footer"/>
    <w:basedOn w:val="Normal"/>
    <w:link w:val="FooterChar"/>
    <w:uiPriority w:val="99"/>
    <w:unhideWhenUsed/>
    <w:rsid w:val="00217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Dilip Vadher</cp:lastModifiedBy>
  <cp:revision>5</cp:revision>
  <dcterms:created xsi:type="dcterms:W3CDTF">2026-06-18T09:39:00Z</dcterms:created>
  <dcterms:modified xsi:type="dcterms:W3CDTF">2026-06-18T11:21:00Z</dcterms:modified>
</cp:coreProperties>
</file>